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40AC6" w14:textId="515C23EC" w:rsidR="00E810C9" w:rsidRPr="008D1AEF" w:rsidRDefault="00E810C9" w:rsidP="00E810C9">
      <w:pPr>
        <w:jc w:val="center"/>
        <w:rPr>
          <w:b/>
          <w:bCs/>
          <w:sz w:val="28"/>
          <w:szCs w:val="28"/>
        </w:rPr>
      </w:pPr>
      <w:r w:rsidRPr="008D1AEF">
        <w:rPr>
          <w:b/>
          <w:bCs/>
          <w:sz w:val="28"/>
          <w:szCs w:val="28"/>
        </w:rPr>
        <w:t>Direct Marketing Response Tool Summary</w:t>
      </w:r>
    </w:p>
    <w:p w14:paraId="28838920" w14:textId="442B1A07" w:rsidR="00E810C9" w:rsidRPr="008D1AEF" w:rsidRDefault="00EE5567" w:rsidP="00E810C9">
      <w:pPr>
        <w:jc w:val="center"/>
        <w:rPr>
          <w:b/>
          <w:bCs/>
          <w:sz w:val="28"/>
          <w:szCs w:val="28"/>
        </w:rPr>
      </w:pPr>
      <w:r w:rsidRPr="008D1AEF">
        <w:rPr>
          <w:b/>
          <w:bCs/>
          <w:sz w:val="28"/>
          <w:szCs w:val="28"/>
        </w:rPr>
        <w:t xml:space="preserve">Author: </w:t>
      </w:r>
      <w:r w:rsidR="00E810C9" w:rsidRPr="008D1AEF">
        <w:rPr>
          <w:b/>
          <w:bCs/>
          <w:sz w:val="28"/>
          <w:szCs w:val="28"/>
        </w:rPr>
        <w:t>Zane Breeding</w:t>
      </w:r>
    </w:p>
    <w:p w14:paraId="297E707A" w14:textId="77777777" w:rsidR="00E810C9" w:rsidRPr="00E8522F" w:rsidRDefault="00E810C9" w:rsidP="00E810C9">
      <w:pPr>
        <w:jc w:val="center"/>
        <w:rPr>
          <w:sz w:val="28"/>
          <w:szCs w:val="28"/>
        </w:rPr>
      </w:pPr>
    </w:p>
    <w:p w14:paraId="19A62864" w14:textId="4C948CAE" w:rsidR="009F6018" w:rsidRPr="00E8522F" w:rsidRDefault="009F6018" w:rsidP="009F6018">
      <w:pPr>
        <w:rPr>
          <w:b/>
          <w:bCs/>
          <w:sz w:val="28"/>
          <w:szCs w:val="28"/>
          <w:u w:val="single"/>
        </w:rPr>
      </w:pPr>
      <w:r w:rsidRPr="00E8522F">
        <w:rPr>
          <w:b/>
          <w:bCs/>
          <w:sz w:val="28"/>
          <w:szCs w:val="28"/>
          <w:u w:val="single"/>
        </w:rPr>
        <w:t>Overview of Process:</w:t>
      </w:r>
    </w:p>
    <w:p w14:paraId="0C343C52" w14:textId="6D688506" w:rsidR="00E810C9" w:rsidRPr="00E8522F" w:rsidRDefault="00EE5567" w:rsidP="00E810C9">
      <w:pPr>
        <w:rPr>
          <w:sz w:val="28"/>
          <w:szCs w:val="28"/>
        </w:rPr>
      </w:pPr>
      <w:r w:rsidRPr="00E8522F">
        <w:rPr>
          <w:sz w:val="28"/>
          <w:szCs w:val="28"/>
        </w:rPr>
        <w:t>The direct marketing response tool for Freedom Financial was administered via direct email to three different committed clients for thoughts and feedback. This was done through</w:t>
      </w:r>
      <w:r w:rsidR="009F6018" w:rsidRPr="00E8522F">
        <w:rPr>
          <w:sz w:val="28"/>
          <w:szCs w:val="28"/>
        </w:rPr>
        <w:t xml:space="preserve"> a two-step direct marketing response experiment, whereby</w:t>
      </w:r>
      <w:r w:rsidRPr="00E8522F">
        <w:rPr>
          <w:sz w:val="28"/>
          <w:szCs w:val="28"/>
        </w:rPr>
        <w:t xml:space="preserve"> Freedom Financial </w:t>
      </w:r>
      <w:r w:rsidR="009F6018" w:rsidRPr="00E8522F">
        <w:rPr>
          <w:sz w:val="28"/>
          <w:szCs w:val="28"/>
        </w:rPr>
        <w:t xml:space="preserve">first sent a “teaser” </w:t>
      </w:r>
      <w:r w:rsidRPr="00E8522F">
        <w:rPr>
          <w:sz w:val="28"/>
          <w:szCs w:val="28"/>
        </w:rPr>
        <w:t xml:space="preserve">newsletter </w:t>
      </w:r>
      <w:r w:rsidR="009F6018" w:rsidRPr="00E8522F">
        <w:rPr>
          <w:sz w:val="28"/>
          <w:szCs w:val="28"/>
        </w:rPr>
        <w:t>to ask advisors and agents “why their digital marketing leads weren’t passing the test”? The purpose of this initial newsletter was to pique interest in the Freedom Financial brand and encourage a call to action to seek out additional information in the form of step-two. Within this initial newsletter, we offered helpful hints regarding how to solve the digital lead challenge, without offering any true solutioning</w:t>
      </w:r>
      <w:r w:rsidR="00AB3070">
        <w:rPr>
          <w:sz w:val="28"/>
          <w:szCs w:val="28"/>
        </w:rPr>
        <w:t xml:space="preserve"> or study</w:t>
      </w:r>
      <w:r w:rsidR="009F6018" w:rsidRPr="00E8522F">
        <w:rPr>
          <w:sz w:val="28"/>
          <w:szCs w:val="28"/>
        </w:rPr>
        <w:t xml:space="preserve"> data. Step-two of the direct response tool was aimed as a follow-up advertisement in the form of a “free report” that could help potential customers boost their annuity leads. Within this follow-up, we shared</w:t>
      </w:r>
      <w:r w:rsidR="00AB3070">
        <w:rPr>
          <w:sz w:val="28"/>
          <w:szCs w:val="28"/>
        </w:rPr>
        <w:t xml:space="preserve"> several</w:t>
      </w:r>
      <w:r w:rsidR="009F6018" w:rsidRPr="00E8522F">
        <w:rPr>
          <w:sz w:val="28"/>
          <w:szCs w:val="28"/>
        </w:rPr>
        <w:t xml:space="preserve"> key marketing data</w:t>
      </w:r>
      <w:r w:rsidR="00AB3070">
        <w:rPr>
          <w:sz w:val="28"/>
          <w:szCs w:val="28"/>
        </w:rPr>
        <w:t xml:space="preserve"> insights</w:t>
      </w:r>
      <w:r w:rsidR="009F6018" w:rsidRPr="00E8522F">
        <w:rPr>
          <w:sz w:val="28"/>
          <w:szCs w:val="28"/>
        </w:rPr>
        <w:t xml:space="preserve"> that are largely </w:t>
      </w:r>
      <w:r w:rsidR="00AB3070">
        <w:rPr>
          <w:sz w:val="28"/>
          <w:szCs w:val="28"/>
        </w:rPr>
        <w:t>overlooked</w:t>
      </w:r>
      <w:r w:rsidR="009F6018" w:rsidRPr="00E8522F">
        <w:rPr>
          <w:sz w:val="28"/>
          <w:szCs w:val="28"/>
        </w:rPr>
        <w:t xml:space="preserve"> by advisors, though demonstrate the realm of expertise that Freedom Financial has to offer clients. The two pieces of marketing collateral have been shared on the discussion board for reference</w:t>
      </w:r>
      <w:r w:rsidR="00AB3070">
        <w:rPr>
          <w:sz w:val="28"/>
          <w:szCs w:val="28"/>
        </w:rPr>
        <w:t xml:space="preserve"> and it is worth noting that in the future, we would aim to provide more detailed data analytics and/or links to the studies themselves. </w:t>
      </w:r>
    </w:p>
    <w:p w14:paraId="609DA533" w14:textId="77777777" w:rsidR="009F6018" w:rsidRPr="00E8522F" w:rsidRDefault="009F6018" w:rsidP="00E810C9">
      <w:pPr>
        <w:rPr>
          <w:sz w:val="28"/>
          <w:szCs w:val="28"/>
        </w:rPr>
      </w:pPr>
    </w:p>
    <w:p w14:paraId="5A75A5AB" w14:textId="20420DB1" w:rsidR="009F6018" w:rsidRPr="00E8522F" w:rsidRDefault="009F6018" w:rsidP="00E810C9">
      <w:pPr>
        <w:rPr>
          <w:b/>
          <w:bCs/>
          <w:sz w:val="28"/>
          <w:szCs w:val="28"/>
          <w:u w:val="single"/>
        </w:rPr>
      </w:pPr>
      <w:r w:rsidRPr="00E8522F">
        <w:rPr>
          <w:b/>
          <w:bCs/>
          <w:sz w:val="28"/>
          <w:szCs w:val="28"/>
          <w:u w:val="single"/>
        </w:rPr>
        <w:t>The Feedback:</w:t>
      </w:r>
    </w:p>
    <w:p w14:paraId="4A090798" w14:textId="220B9540" w:rsidR="009F6018" w:rsidRPr="00E8522F" w:rsidRDefault="009F6018" w:rsidP="00E810C9">
      <w:pPr>
        <w:rPr>
          <w:sz w:val="28"/>
          <w:szCs w:val="28"/>
        </w:rPr>
      </w:pPr>
      <w:r w:rsidRPr="00E8522F">
        <w:rPr>
          <w:sz w:val="28"/>
          <w:szCs w:val="28"/>
        </w:rPr>
        <w:t xml:space="preserve">Almost universally across the three committed clients, feedback was positive with the notion that the call to action was successful. Despite knowing this was an “experiment” of sorts, each advisor shared they would have at least been willing to inquire for additional information. Two advisors also shared they appreciated the brevity of the newsletter and advertisement and that it was simple and didn’t come across as too “salesy” in nature. </w:t>
      </w:r>
      <w:r w:rsidR="003C0EB7" w:rsidRPr="00E8522F">
        <w:rPr>
          <w:sz w:val="28"/>
          <w:szCs w:val="28"/>
        </w:rPr>
        <w:t xml:space="preserve">Interestingly, the </w:t>
      </w:r>
      <w:r w:rsidR="003C0EB7" w:rsidRPr="00E8522F">
        <w:rPr>
          <w:sz w:val="28"/>
          <w:szCs w:val="28"/>
        </w:rPr>
        <w:lastRenderedPageBreak/>
        <w:t xml:space="preserve">third advisor shared that he would love to see newsletters and advertisements with even more data and detail in the future. These two conflicting views demonstrate many of the traditional challenges with marketing collateral, with no single method satisfying all prospective customers. However, the clear takeaways are that the two-step method of engagement and lead generation can be effective if structured properly with some type of value add that </w:t>
      </w:r>
      <w:r w:rsidR="009D05DA" w:rsidRPr="00E8522F">
        <w:rPr>
          <w:sz w:val="28"/>
          <w:szCs w:val="28"/>
        </w:rPr>
        <w:t>interests’</w:t>
      </w:r>
      <w:r w:rsidR="003C0EB7" w:rsidRPr="00E8522F">
        <w:rPr>
          <w:sz w:val="28"/>
          <w:szCs w:val="28"/>
        </w:rPr>
        <w:t xml:space="preserve"> prospective clients. </w:t>
      </w:r>
      <w:r w:rsidR="003C0EB7" w:rsidRPr="00E8522F">
        <w:rPr>
          <w:sz w:val="28"/>
          <w:szCs w:val="28"/>
        </w:rPr>
        <w:br/>
      </w:r>
      <w:r w:rsidR="003C0EB7" w:rsidRPr="00E8522F">
        <w:rPr>
          <w:sz w:val="28"/>
          <w:szCs w:val="28"/>
        </w:rPr>
        <w:br/>
      </w:r>
      <w:r w:rsidR="009D05DA" w:rsidRPr="00E8522F">
        <w:rPr>
          <w:sz w:val="28"/>
          <w:szCs w:val="28"/>
        </w:rPr>
        <w:t xml:space="preserve">Additionally, participants were asked about a preferred frequency of receiving collateral such as this, which was unified in the preference of a monthly type of newsletter/advertisement. </w:t>
      </w:r>
      <w:r w:rsidR="00D21084" w:rsidRPr="00E8522F">
        <w:rPr>
          <w:sz w:val="28"/>
          <w:szCs w:val="28"/>
        </w:rPr>
        <w:t xml:space="preserve">This aligns with prior experience that regular communications and engagement on a monthly cadence keep clients engaged without becoming overly burdensome. </w:t>
      </w:r>
      <w:r w:rsidR="008E21DB" w:rsidRPr="00E8522F">
        <w:rPr>
          <w:sz w:val="28"/>
          <w:szCs w:val="28"/>
        </w:rPr>
        <w:t xml:space="preserve">Finally, two participants also shared they would be interested in seeing the data and case studies pertaining to the information shared within the step-two advertisement, thus reinforcing the idea that data and analytics remain a powerful modern day marketing tool (in the sense that data can often do the “selling” for you, without the cumbersome sales pitch). This provides future </w:t>
      </w:r>
      <w:r w:rsidR="00AB3070">
        <w:rPr>
          <w:sz w:val="28"/>
          <w:szCs w:val="28"/>
        </w:rPr>
        <w:t>direction</w:t>
      </w:r>
      <w:r w:rsidR="008E21DB" w:rsidRPr="00E8522F">
        <w:rPr>
          <w:sz w:val="28"/>
          <w:szCs w:val="28"/>
        </w:rPr>
        <w:t xml:space="preserve"> for Freedom Financial on how we can incorporate more white papers, studies, and analytics in </w:t>
      </w:r>
      <w:r w:rsidR="00AB3070">
        <w:rPr>
          <w:sz w:val="28"/>
          <w:szCs w:val="28"/>
        </w:rPr>
        <w:t>further</w:t>
      </w:r>
      <w:r w:rsidR="008E21DB" w:rsidRPr="00E8522F">
        <w:rPr>
          <w:sz w:val="28"/>
          <w:szCs w:val="28"/>
        </w:rPr>
        <w:t xml:space="preserve"> two-step direct marketing exercises. </w:t>
      </w:r>
    </w:p>
    <w:p w14:paraId="171319EC" w14:textId="77777777" w:rsidR="009F6018" w:rsidRDefault="009F6018" w:rsidP="00E810C9"/>
    <w:sectPr w:rsidR="009F60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0C9"/>
    <w:rsid w:val="003C0EB7"/>
    <w:rsid w:val="006D6243"/>
    <w:rsid w:val="008D1AEF"/>
    <w:rsid w:val="008E21DB"/>
    <w:rsid w:val="009D05DA"/>
    <w:rsid w:val="009F6018"/>
    <w:rsid w:val="00AB3070"/>
    <w:rsid w:val="00D21084"/>
    <w:rsid w:val="00E810C9"/>
    <w:rsid w:val="00E8522F"/>
    <w:rsid w:val="00EE55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839702"/>
  <w15:chartTrackingRefBased/>
  <w15:docId w15:val="{F908416A-26DE-D848-BC32-A7C7E1C71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10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10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10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10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10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10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10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10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10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0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10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10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10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10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10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10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10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10C9"/>
    <w:rPr>
      <w:rFonts w:eastAsiaTheme="majorEastAsia" w:cstheme="majorBidi"/>
      <w:color w:val="272727" w:themeColor="text1" w:themeTint="D8"/>
    </w:rPr>
  </w:style>
  <w:style w:type="paragraph" w:styleId="Title">
    <w:name w:val="Title"/>
    <w:basedOn w:val="Normal"/>
    <w:next w:val="Normal"/>
    <w:link w:val="TitleChar"/>
    <w:uiPriority w:val="10"/>
    <w:qFormat/>
    <w:rsid w:val="00E810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10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0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10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10C9"/>
    <w:pPr>
      <w:spacing w:before="160"/>
      <w:jc w:val="center"/>
    </w:pPr>
    <w:rPr>
      <w:i/>
      <w:iCs/>
      <w:color w:val="404040" w:themeColor="text1" w:themeTint="BF"/>
    </w:rPr>
  </w:style>
  <w:style w:type="character" w:customStyle="1" w:styleId="QuoteChar">
    <w:name w:val="Quote Char"/>
    <w:basedOn w:val="DefaultParagraphFont"/>
    <w:link w:val="Quote"/>
    <w:uiPriority w:val="29"/>
    <w:rsid w:val="00E810C9"/>
    <w:rPr>
      <w:i/>
      <w:iCs/>
      <w:color w:val="404040" w:themeColor="text1" w:themeTint="BF"/>
    </w:rPr>
  </w:style>
  <w:style w:type="paragraph" w:styleId="ListParagraph">
    <w:name w:val="List Paragraph"/>
    <w:basedOn w:val="Normal"/>
    <w:uiPriority w:val="34"/>
    <w:qFormat/>
    <w:rsid w:val="00E810C9"/>
    <w:pPr>
      <w:ind w:left="720"/>
      <w:contextualSpacing/>
    </w:pPr>
  </w:style>
  <w:style w:type="character" w:styleId="IntenseEmphasis">
    <w:name w:val="Intense Emphasis"/>
    <w:basedOn w:val="DefaultParagraphFont"/>
    <w:uiPriority w:val="21"/>
    <w:qFormat/>
    <w:rsid w:val="00E810C9"/>
    <w:rPr>
      <w:i/>
      <w:iCs/>
      <w:color w:val="0F4761" w:themeColor="accent1" w:themeShade="BF"/>
    </w:rPr>
  </w:style>
  <w:style w:type="paragraph" w:styleId="IntenseQuote">
    <w:name w:val="Intense Quote"/>
    <w:basedOn w:val="Normal"/>
    <w:next w:val="Normal"/>
    <w:link w:val="IntenseQuoteChar"/>
    <w:uiPriority w:val="30"/>
    <w:qFormat/>
    <w:rsid w:val="00E810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10C9"/>
    <w:rPr>
      <w:i/>
      <w:iCs/>
      <w:color w:val="0F4761" w:themeColor="accent1" w:themeShade="BF"/>
    </w:rPr>
  </w:style>
  <w:style w:type="character" w:styleId="IntenseReference">
    <w:name w:val="Intense Reference"/>
    <w:basedOn w:val="DefaultParagraphFont"/>
    <w:uiPriority w:val="32"/>
    <w:qFormat/>
    <w:rsid w:val="00E810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483</Words>
  <Characters>2754</Characters>
  <Application>Microsoft Office Word</Application>
  <DocSecurity>0</DocSecurity>
  <Lines>22</Lines>
  <Paragraphs>6</Paragraphs>
  <ScaleCrop>false</ScaleCrop>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Breeding, Zane Andrew</dc:creator>
  <cp:keywords/>
  <dc:description/>
  <cp:lastModifiedBy>Breeding, Zane Andrew</cp:lastModifiedBy>
  <cp:revision>11</cp:revision>
  <dcterms:created xsi:type="dcterms:W3CDTF">2024-08-05T21:18:00Z</dcterms:created>
  <dcterms:modified xsi:type="dcterms:W3CDTF">2024-08-06T13:11:00Z</dcterms:modified>
</cp:coreProperties>
</file>